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Procesory, jaką pełnią rolę i do czego można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Procesory to elementy szczególnie ważne w komputerze. Jeżeli nie będą dość wydajne, spowolnią całą resztę zamontowanych komponentów tworząc tzw "bottleneck".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komputerowy przez różne osoby może być wykorzystywany do zgoła odmiennych celów. Mimo to, można w nich często znaleźć bardzo podobne części. Jedno mimo to nie ulega wątpliwości - zawsze lepiej jest posiadać bardziej wydajne </w:t>
      </w:r>
      <w:r>
        <w:rPr>
          <w:rFonts w:ascii="calibri" w:hAnsi="calibri" w:eastAsia="calibri" w:cs="calibri"/>
          <w:sz w:val="24"/>
          <w:szCs w:val="24"/>
          <w:b/>
        </w:rPr>
        <w:t xml:space="preserve">procesory</w:t>
      </w:r>
      <w:r>
        <w:rPr>
          <w:rFonts w:ascii="calibri" w:hAnsi="calibri" w:eastAsia="calibri" w:cs="calibri"/>
          <w:sz w:val="24"/>
          <w:szCs w:val="24"/>
        </w:rPr>
        <w:t xml:space="preserve">. Oferowana przez nie moc obliczeniowa jest doceniana między innymi przez graczy, szczególnie w tych nowych tytułach.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Procesory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Intel z generacji Coffee Lake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dłuższym okresie stagnacji na rynku konieczne stało się w końcu wprowadzenie stosownych innowacji. Nowe </w:t>
      </w:r>
      <w:r>
        <w:rPr>
          <w:rFonts w:ascii="calibri" w:hAnsi="calibri" w:eastAsia="calibri" w:cs="calibri"/>
          <w:sz w:val="24"/>
          <w:szCs w:val="24"/>
          <w:b/>
        </w:rPr>
        <w:t xml:space="preserve">procesory</w:t>
      </w:r>
      <w:r>
        <w:rPr>
          <w:rFonts w:ascii="calibri" w:hAnsi="calibri" w:eastAsia="calibri" w:cs="calibri"/>
          <w:sz w:val="24"/>
          <w:szCs w:val="24"/>
        </w:rPr>
        <w:t xml:space="preserve"> od niebieskiej marki Intel w porównaniu do poprzedniej generacji mogą pochwalić się podwyższonymi częstotliwościami taktowania zegara a także zwiększoną liczbą rdzenie. Szczególnie ten ostatni czynnik przekłada się na wydajność w zastosowaniach wielowątkowych.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z nich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zastosowań profesjonalnych takich jak rendering wideo na pewno warto jest nieco dołożyć i zaopatrzyć się w jednostkę o zwiększonej liczbie fizycznych rdzeni. W przypadku gier komputerowych nie jest to aż tak istotny czynnik, jako że dla nich bardziej liczy się samo taktowanie. Dużo też zależy od konkretnej gry - te starsze bardzo często nawet nie obsłużą dodatkowych rdzeni.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rocesory-c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2026-07-18T12:52:52+02:00</dcterms:created>
  <dcterms:modified xsi:type="dcterms:W3CDTF">2026-07-18T12:52:52+02:00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